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3E34" w14:textId="7FD60306" w:rsidR="00B71C54" w:rsidRPr="00FB3078" w:rsidRDefault="00F826B0" w:rsidP="00A7203F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FB3078">
        <w:rPr>
          <w:rFonts w:asciiTheme="minorHAnsi" w:hAnsiTheme="minorHAnsi" w:cstheme="minorHAnsi"/>
          <w:b/>
          <w:sz w:val="32"/>
          <w:szCs w:val="32"/>
        </w:rPr>
        <w:t xml:space="preserve">Customer Services </w:t>
      </w:r>
      <w:r w:rsidR="001B5FA7" w:rsidRPr="00FB3078">
        <w:rPr>
          <w:rFonts w:asciiTheme="minorHAnsi" w:hAnsiTheme="minorHAnsi" w:cstheme="minorHAnsi"/>
          <w:b/>
          <w:sz w:val="32"/>
          <w:szCs w:val="32"/>
        </w:rPr>
        <w:t xml:space="preserve">&amp; Operational </w:t>
      </w:r>
      <w:r w:rsidRPr="00FB3078">
        <w:rPr>
          <w:rFonts w:asciiTheme="minorHAnsi" w:hAnsiTheme="minorHAnsi" w:cstheme="minorHAnsi"/>
          <w:b/>
          <w:sz w:val="32"/>
          <w:szCs w:val="32"/>
        </w:rPr>
        <w:t xml:space="preserve">Review </w:t>
      </w:r>
      <w:r w:rsidR="00230769" w:rsidRPr="00FB3078">
        <w:rPr>
          <w:rFonts w:asciiTheme="minorHAnsi" w:hAnsiTheme="minorHAnsi" w:cstheme="minorHAnsi"/>
          <w:b/>
          <w:sz w:val="32"/>
          <w:szCs w:val="32"/>
        </w:rPr>
        <w:t xml:space="preserve">Consultant(s) </w:t>
      </w:r>
      <w:r w:rsidR="001D18C5" w:rsidRPr="00FB3078">
        <w:rPr>
          <w:rFonts w:asciiTheme="minorHAnsi" w:hAnsiTheme="minorHAnsi" w:cstheme="minorHAnsi"/>
          <w:b/>
          <w:sz w:val="32"/>
          <w:szCs w:val="32"/>
        </w:rPr>
        <w:t>Brief</w:t>
      </w:r>
    </w:p>
    <w:p w14:paraId="6392BBBB" w14:textId="7DC9151E" w:rsidR="008161D3" w:rsidRPr="00FB3078" w:rsidRDefault="008161D3" w:rsidP="00674D6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  <w:r w:rsidRPr="00FB3078">
        <w:rPr>
          <w:rFonts w:asciiTheme="minorHAnsi" w:hAnsiTheme="minorHAnsi" w:cstheme="minorHAnsi"/>
          <w:b/>
          <w:bCs/>
          <w:sz w:val="24"/>
          <w:szCs w:val="24"/>
        </w:rPr>
        <w:t>This Brief form</w:t>
      </w:r>
      <w:r w:rsidR="00103726">
        <w:rPr>
          <w:rFonts w:asciiTheme="minorHAnsi" w:hAnsiTheme="minorHAnsi" w:cstheme="minorHAnsi"/>
          <w:b/>
          <w:bCs/>
          <w:sz w:val="24"/>
          <w:szCs w:val="24"/>
        </w:rPr>
        <w:t xml:space="preserve"> is</w:t>
      </w:r>
      <w:r w:rsidRPr="00FB3078">
        <w:rPr>
          <w:rFonts w:asciiTheme="minorHAnsi" w:hAnsiTheme="minorHAnsi" w:cstheme="minorHAnsi"/>
          <w:b/>
          <w:bCs/>
          <w:sz w:val="24"/>
          <w:szCs w:val="24"/>
        </w:rPr>
        <w:t xml:space="preserve"> part of Re-connect, a new Project funded by National Lottery Heritage Fund which will </w:t>
      </w: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>engage our local communities through creative and innovative activities that will inform a refreshed customer-centric welcome for our heritage sites across Luton (Wardown House Museum &amp; Gallery, Stockwood Discovery Centre, the Hat Factory Arts Centre and the Hat District Creative Industry Cluster).</w:t>
      </w:r>
      <w:r w:rsidRPr="00FB307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7B915D1" w14:textId="77777777" w:rsidR="00674D6C" w:rsidRPr="00FB3078" w:rsidRDefault="00674D6C" w:rsidP="00674D6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</w:p>
    <w:p w14:paraId="609DC9B6" w14:textId="5BAF5541" w:rsidR="008161D3" w:rsidRPr="00FB3078" w:rsidRDefault="008161D3" w:rsidP="008161D3">
      <w:pPr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>The Brief</w:t>
      </w:r>
    </w:p>
    <w:p w14:paraId="6D55A3A3" w14:textId="67AFAABA" w:rsidR="00E34F24" w:rsidRPr="00FB3078" w:rsidRDefault="00674D6C" w:rsidP="00F14488">
      <w:pPr>
        <w:ind w:right="-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sz w:val="24"/>
          <w:szCs w:val="24"/>
        </w:rPr>
        <w:t>We</w:t>
      </w:r>
      <w:r w:rsidR="008161D3" w:rsidRPr="00FB3078">
        <w:rPr>
          <w:rFonts w:asciiTheme="minorHAnsi" w:hAnsiTheme="minorHAnsi" w:cstheme="minorHAnsi"/>
          <w:sz w:val="24"/>
          <w:szCs w:val="24"/>
        </w:rPr>
        <w:t xml:space="preserve"> seek an experienced Customer Services Review Consultant(s) </w:t>
      </w:r>
      <w:r w:rsidR="008161D3" w:rsidRPr="00FB3078">
        <w:rPr>
          <w:rFonts w:asciiTheme="minorHAnsi" w:eastAsia="Times New Roman" w:hAnsiTheme="minorHAnsi" w:cstheme="minorHAnsi"/>
          <w:sz w:val="24"/>
          <w:szCs w:val="24"/>
        </w:rPr>
        <w:t>with experience balancing formal and informal consultation methods that will engage our local communities, our customers and non-users. The Consultant (s) shall also examine gaps in provision and make recommendations for change based on data and need. This shall lead to a plan for improvement.</w:t>
      </w:r>
    </w:p>
    <w:p w14:paraId="0973A3BF" w14:textId="79620F69" w:rsidR="00D04401" w:rsidRPr="00FB3078" w:rsidRDefault="00402542" w:rsidP="00A7203F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Working with:</w:t>
      </w:r>
      <w:r w:rsidR="00FB3078">
        <w:rPr>
          <w:rFonts w:asciiTheme="minorHAnsi" w:hAnsiTheme="minorHAnsi" w:cstheme="minorHAnsi"/>
          <w:sz w:val="24"/>
          <w:szCs w:val="24"/>
        </w:rPr>
        <w:t xml:space="preserve"> </w:t>
      </w:r>
      <w:r w:rsidR="008161D3" w:rsidRPr="00FB3078">
        <w:rPr>
          <w:rFonts w:asciiTheme="minorHAnsi" w:eastAsia="Times New Roman" w:hAnsiTheme="minorHAnsi" w:cstheme="minorHAnsi"/>
          <w:sz w:val="24"/>
          <w:szCs w:val="24"/>
        </w:rPr>
        <w:t>The Re-connect Project Manager</w:t>
      </w:r>
      <w:r w:rsidR="003F685C" w:rsidRPr="00FB3078">
        <w:rPr>
          <w:rFonts w:asciiTheme="minorHAnsi" w:eastAsia="Times New Roman" w:hAnsiTheme="minorHAnsi" w:cstheme="minorHAnsi"/>
          <w:sz w:val="24"/>
          <w:szCs w:val="24"/>
        </w:rPr>
        <w:t>,</w:t>
      </w:r>
      <w:r w:rsidR="008161D3" w:rsidRPr="00FB30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13C89" w:rsidRPr="00FB3078">
        <w:rPr>
          <w:rFonts w:asciiTheme="minorHAnsi" w:hAnsiTheme="minorHAnsi" w:cstheme="minorHAnsi"/>
          <w:sz w:val="24"/>
          <w:szCs w:val="24"/>
        </w:rPr>
        <w:t>Director of Customer Experience, Finance Director, HR, Marketing and Heads of departments</w:t>
      </w:r>
      <w:r w:rsidR="00670E91" w:rsidRPr="00FB3078">
        <w:rPr>
          <w:rFonts w:asciiTheme="minorHAnsi" w:hAnsiTheme="minorHAnsi" w:cstheme="minorHAnsi"/>
          <w:sz w:val="24"/>
          <w:szCs w:val="24"/>
        </w:rPr>
        <w:t xml:space="preserve"> and</w:t>
      </w:r>
      <w:r w:rsidR="00513C89" w:rsidRPr="00FB3078">
        <w:rPr>
          <w:rFonts w:asciiTheme="minorHAnsi" w:hAnsiTheme="minorHAnsi" w:cstheme="minorHAnsi"/>
          <w:sz w:val="24"/>
          <w:szCs w:val="24"/>
        </w:rPr>
        <w:t xml:space="preserve"> </w:t>
      </w:r>
      <w:r w:rsidR="00670E91" w:rsidRPr="00FB3078">
        <w:rPr>
          <w:rFonts w:asciiTheme="minorHAnsi" w:hAnsiTheme="minorHAnsi" w:cstheme="minorHAnsi"/>
          <w:sz w:val="24"/>
          <w:szCs w:val="24"/>
        </w:rPr>
        <w:t>the Project Manager and front of house teams, casual staff and volunteers.</w:t>
      </w:r>
    </w:p>
    <w:p w14:paraId="345D8FDC" w14:textId="77777777" w:rsidR="00402542" w:rsidRPr="00FB3078" w:rsidRDefault="00D04401" w:rsidP="00A7203F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Reporting to</w:t>
      </w:r>
      <w:r w:rsidRPr="00FB3078">
        <w:rPr>
          <w:rFonts w:asciiTheme="minorHAnsi" w:hAnsiTheme="minorHAnsi" w:cstheme="minorHAnsi"/>
          <w:b/>
          <w:sz w:val="24"/>
          <w:szCs w:val="24"/>
        </w:rPr>
        <w:tab/>
      </w:r>
      <w:r w:rsidR="00670E91" w:rsidRPr="00FB3078">
        <w:rPr>
          <w:rFonts w:asciiTheme="minorHAnsi" w:hAnsiTheme="minorHAnsi" w:cstheme="minorHAnsi"/>
          <w:sz w:val="24"/>
          <w:szCs w:val="24"/>
        </w:rPr>
        <w:t>Director of Customer Experience</w:t>
      </w:r>
    </w:p>
    <w:p w14:paraId="0464AA9D" w14:textId="77EBDE45" w:rsidR="00CC0ECD" w:rsidRPr="00FB3078" w:rsidRDefault="00CC0ECD" w:rsidP="00A7203F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Place:</w:t>
      </w:r>
      <w:r w:rsidR="00A7203F" w:rsidRPr="00FB3078">
        <w:rPr>
          <w:rFonts w:asciiTheme="minorHAnsi" w:hAnsiTheme="minorHAnsi" w:cstheme="minorHAnsi"/>
          <w:b/>
          <w:sz w:val="24"/>
          <w:szCs w:val="24"/>
        </w:rPr>
        <w:tab/>
      </w:r>
      <w:r w:rsidRPr="00FB3078">
        <w:rPr>
          <w:rFonts w:asciiTheme="minorHAnsi" w:hAnsiTheme="minorHAnsi" w:cstheme="minorHAnsi"/>
          <w:sz w:val="24"/>
          <w:szCs w:val="24"/>
        </w:rPr>
        <w:t>Stockwood Discovery Centre, The Hat Factory Arts Centre &amp; Wardown House Museum &amp; Gallery, Luton with occasional work at other local sites across Luton.</w:t>
      </w:r>
    </w:p>
    <w:p w14:paraId="24F20BA6" w14:textId="0280CE91" w:rsidR="00402542" w:rsidRPr="00FB3078" w:rsidRDefault="00402542" w:rsidP="00A7203F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Fee</w:t>
      </w:r>
      <w:r w:rsidR="00513C89" w:rsidRPr="00FB307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13C89" w:rsidRPr="00FB3078">
        <w:rPr>
          <w:rFonts w:asciiTheme="minorHAnsi" w:hAnsiTheme="minorHAnsi" w:cstheme="minorHAnsi"/>
          <w:b/>
          <w:sz w:val="24"/>
          <w:szCs w:val="24"/>
        </w:rPr>
        <w:tab/>
      </w:r>
      <w:r w:rsidRPr="00FB3078">
        <w:rPr>
          <w:rFonts w:asciiTheme="minorHAnsi" w:hAnsiTheme="minorHAnsi" w:cstheme="minorHAnsi"/>
          <w:sz w:val="24"/>
          <w:szCs w:val="24"/>
        </w:rPr>
        <w:t xml:space="preserve">Fully inclusive </w:t>
      </w:r>
      <w:r w:rsidR="00650050" w:rsidRPr="00FB3078">
        <w:rPr>
          <w:rFonts w:asciiTheme="minorHAnsi" w:hAnsiTheme="minorHAnsi" w:cstheme="minorHAnsi"/>
          <w:sz w:val="24"/>
          <w:szCs w:val="24"/>
        </w:rPr>
        <w:t>fixed fee</w:t>
      </w:r>
      <w:r w:rsidR="00513C89" w:rsidRPr="00FB3078">
        <w:rPr>
          <w:rFonts w:asciiTheme="minorHAnsi" w:hAnsiTheme="minorHAnsi" w:cstheme="minorHAnsi"/>
          <w:sz w:val="24"/>
          <w:szCs w:val="24"/>
        </w:rPr>
        <w:t xml:space="preserve"> of £</w:t>
      </w:r>
      <w:r w:rsidR="00670E91" w:rsidRPr="00FB3078">
        <w:rPr>
          <w:rFonts w:asciiTheme="minorHAnsi" w:hAnsiTheme="minorHAnsi" w:cstheme="minorHAnsi"/>
          <w:sz w:val="24"/>
          <w:szCs w:val="24"/>
        </w:rPr>
        <w:t>9800</w:t>
      </w:r>
      <w:r w:rsidR="00513C89" w:rsidRPr="00FB3078">
        <w:rPr>
          <w:rFonts w:asciiTheme="minorHAnsi" w:hAnsiTheme="minorHAnsi" w:cstheme="minorHAnsi"/>
          <w:sz w:val="24"/>
          <w:szCs w:val="24"/>
        </w:rPr>
        <w:t xml:space="preserve"> </w:t>
      </w:r>
      <w:r w:rsidR="001B5FA7" w:rsidRPr="00FB3078">
        <w:rPr>
          <w:rFonts w:asciiTheme="minorHAnsi" w:hAnsiTheme="minorHAnsi" w:cstheme="minorHAnsi"/>
          <w:sz w:val="24"/>
          <w:szCs w:val="24"/>
        </w:rPr>
        <w:t>+VAT</w:t>
      </w:r>
    </w:p>
    <w:p w14:paraId="74C371B1" w14:textId="11CF58D4" w:rsidR="00674D6C" w:rsidRPr="00FB3078" w:rsidRDefault="00674D6C" w:rsidP="00674D6C">
      <w:pPr>
        <w:ind w:left="144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Duration</w:t>
      </w:r>
      <w:r w:rsidRPr="00FB3078">
        <w:rPr>
          <w:rFonts w:asciiTheme="minorHAnsi" w:hAnsiTheme="minorHAnsi" w:cstheme="minorHAnsi"/>
          <w:b/>
          <w:sz w:val="24"/>
          <w:szCs w:val="24"/>
        </w:rPr>
        <w:tab/>
      </w:r>
      <w:r w:rsidRPr="00FB3078">
        <w:rPr>
          <w:rFonts w:asciiTheme="minorHAnsi" w:hAnsiTheme="minorHAnsi" w:cstheme="minorHAnsi"/>
          <w:bCs/>
          <w:sz w:val="24"/>
          <w:szCs w:val="24"/>
        </w:rPr>
        <w:t>Start April 2025 – Conclude September 2025</w:t>
      </w:r>
    </w:p>
    <w:p w14:paraId="542BE055" w14:textId="41F62BD3" w:rsidR="00230769" w:rsidRDefault="00B87274" w:rsidP="00A7203F">
      <w:pPr>
        <w:tabs>
          <w:tab w:val="left" w:pos="7319"/>
        </w:tabs>
        <w:spacing w:before="56" w:after="0"/>
        <w:rPr>
          <w:rStyle w:val="Hyperlink"/>
          <w:rFonts w:asciiTheme="minorHAnsi" w:hAnsiTheme="minorHAnsi" w:cstheme="minorHAnsi"/>
          <w:sz w:val="24"/>
          <w:szCs w:val="24"/>
          <w:lang w:val="en-US"/>
        </w:rPr>
      </w:pPr>
      <w:bookmarkStart w:id="0" w:name="_Hlk181289495"/>
      <w:r w:rsidRPr="00FB3078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Established in 2008, the Culture Trust, Luton is a vibrant and progressive independent charity and our mission is </w:t>
      </w:r>
      <w:r w:rsidRPr="00FB3078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‘to connect communities through culture’</w:t>
      </w:r>
      <w:r w:rsidRPr="00FB3078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>. We do this through our accredited museums, theatres, galleries, creative workspaces and Arts Centre in Luton. We attract over 200,000 visits per annum to our sites</w:t>
      </w:r>
      <w:r w:rsidRPr="00FB3078">
        <w:rPr>
          <w:rFonts w:asciiTheme="minorHAnsi" w:eastAsia="Times New Roman" w:hAnsiTheme="minorHAnsi" w:cstheme="minorHAnsi"/>
          <w:sz w:val="24"/>
          <w:szCs w:val="24"/>
          <w:lang w:val="en-US"/>
        </w:rPr>
        <w:t>: T</w:t>
      </w:r>
      <w:r w:rsidRPr="00FB3078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he Hat Factory Arts Centre, Hat House and Hat Works creative workspace, Wardown House Museum &amp; Gallery and Stockwood Discovery Centre Gardens &amp; Museum. We present </w:t>
      </w:r>
      <w:r w:rsidRPr="00FB3078">
        <w:rPr>
          <w:rFonts w:asciiTheme="minorHAnsi" w:hAnsiTheme="minorHAnsi" w:cstheme="minorHAnsi"/>
          <w:sz w:val="24"/>
          <w:szCs w:val="24"/>
          <w:lang w:val="en-US"/>
        </w:rPr>
        <w:t>multi-cultural and year-round programme of events, exhibitions, workshops and performances. We co-produce activity with our community, partners, Museum Makers</w:t>
      </w:r>
      <w:r w:rsidRPr="00FB3078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 volunteers and team of cultural experts. </w:t>
      </w:r>
      <w:r w:rsidRPr="00FB3078">
        <w:rPr>
          <w:rFonts w:asciiTheme="minorHAnsi" w:eastAsia="Times New Roman" w:hAnsiTheme="minorHAnsi" w:cstheme="minorHAnsi"/>
          <w:bCs/>
          <w:sz w:val="24"/>
          <w:szCs w:val="24"/>
          <w:shd w:val="clear" w:color="auto" w:fill="FFFFFF"/>
          <w:lang w:val="en-US"/>
        </w:rPr>
        <w:t xml:space="preserve">We support creative talent </w:t>
      </w:r>
      <w:r w:rsidRPr="00FB3078">
        <w:rPr>
          <w:rFonts w:asciiTheme="minorHAnsi" w:eastAsia="Times New Roman" w:hAnsiTheme="minorHAnsi" w:cstheme="minorHAnsi"/>
          <w:bCs/>
          <w:sz w:val="24"/>
          <w:szCs w:val="24"/>
          <w:shd w:val="clear" w:color="auto" w:fill="FFFFFF"/>
          <w:lang w:val="en-US"/>
        </w:rPr>
        <w:lastRenderedPageBreak/>
        <w:t>and skills by providing opportunities, platforms and cultural career progression</w:t>
      </w:r>
      <w:r w:rsidR="00F14488" w:rsidRPr="00FB3078">
        <w:rPr>
          <w:rFonts w:asciiTheme="minorHAnsi" w:eastAsia="Times New Roman" w:hAnsiTheme="minorHAnsi" w:cstheme="minorHAnsi"/>
          <w:bCs/>
          <w:sz w:val="24"/>
          <w:szCs w:val="24"/>
          <w:shd w:val="clear" w:color="auto" w:fill="FFFFFF"/>
          <w:lang w:val="en-US"/>
        </w:rPr>
        <w:t xml:space="preserve">. </w:t>
      </w:r>
      <w:r w:rsidRPr="00FB3078">
        <w:rPr>
          <w:rFonts w:asciiTheme="minorHAnsi" w:hAnsiTheme="minorHAnsi" w:cstheme="minorHAnsi"/>
          <w:sz w:val="24"/>
          <w:szCs w:val="24"/>
          <w:lang w:val="en-US"/>
        </w:rPr>
        <w:t>For more information about the Culture Trust, Luton visit</w:t>
      </w:r>
      <w:r w:rsidR="008161D3" w:rsidRPr="00FB307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8" w:history="1">
        <w:r w:rsidR="008161D3" w:rsidRPr="00FB3078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www.culturetrust.com</w:t>
        </w:r>
      </w:hyperlink>
      <w:r w:rsidR="00FB3078">
        <w:rPr>
          <w:rStyle w:val="Hyperlink"/>
          <w:rFonts w:asciiTheme="minorHAnsi" w:hAnsiTheme="minorHAnsi" w:cstheme="minorHAnsi"/>
          <w:sz w:val="24"/>
          <w:szCs w:val="24"/>
          <w:lang w:val="en-US"/>
        </w:rPr>
        <w:t>.</w:t>
      </w:r>
    </w:p>
    <w:p w14:paraId="328DFDE5" w14:textId="77777777" w:rsidR="00FB3078" w:rsidRPr="00FB3078" w:rsidRDefault="00FB3078" w:rsidP="00A7203F">
      <w:pPr>
        <w:tabs>
          <w:tab w:val="left" w:pos="7319"/>
        </w:tabs>
        <w:spacing w:before="56" w:after="0"/>
        <w:rPr>
          <w:rFonts w:asciiTheme="minorHAnsi" w:hAnsiTheme="minorHAnsi" w:cstheme="minorHAnsi"/>
          <w:color w:val="0000FF" w:themeColor="hyperlink"/>
          <w:sz w:val="24"/>
          <w:szCs w:val="24"/>
          <w:lang w:val="en-US"/>
        </w:rPr>
      </w:pPr>
    </w:p>
    <w:bookmarkEnd w:id="0"/>
    <w:p w14:paraId="7B48FB20" w14:textId="4A43AD51" w:rsidR="00B33DFD" w:rsidRPr="00FB3078" w:rsidRDefault="00B87274" w:rsidP="00F14488">
      <w:pPr>
        <w:tabs>
          <w:tab w:val="left" w:pos="7319"/>
        </w:tabs>
        <w:spacing w:before="56" w:after="0"/>
        <w:rPr>
          <w:rFonts w:asciiTheme="minorHAnsi" w:hAnsiTheme="minorHAnsi" w:cstheme="minorHAnsi"/>
          <w:sz w:val="24"/>
          <w:szCs w:val="24"/>
          <w:lang w:val="en-US"/>
        </w:rPr>
      </w:pPr>
      <w:r w:rsidRPr="00FB307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71C54" w:rsidRPr="00FB3078">
        <w:rPr>
          <w:rFonts w:asciiTheme="minorHAnsi" w:hAnsiTheme="minorHAnsi" w:cstheme="minorHAnsi"/>
          <w:b/>
          <w:sz w:val="24"/>
          <w:szCs w:val="24"/>
        </w:rPr>
        <w:t xml:space="preserve">Key Responsibilities </w:t>
      </w:r>
    </w:p>
    <w:p w14:paraId="39D70338" w14:textId="3CDCCB34" w:rsidR="00CE7645" w:rsidRPr="00FB3078" w:rsidRDefault="00CE7645" w:rsidP="00A7203F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Audience Research</w:t>
      </w:r>
      <w:r w:rsidRPr="00FB3078">
        <w:rPr>
          <w:rFonts w:asciiTheme="minorHAnsi" w:hAnsiTheme="minorHAnsi" w:cstheme="minorHAnsi"/>
          <w:sz w:val="24"/>
          <w:szCs w:val="24"/>
        </w:rPr>
        <w:t xml:space="preserve">: To review data, box office </w:t>
      </w:r>
      <w:r w:rsidR="00A7203F" w:rsidRPr="00FB3078">
        <w:rPr>
          <w:rFonts w:asciiTheme="minorHAnsi" w:hAnsiTheme="minorHAnsi" w:cstheme="minorHAnsi"/>
          <w:sz w:val="24"/>
          <w:szCs w:val="24"/>
        </w:rPr>
        <w:t xml:space="preserve">system </w:t>
      </w:r>
      <w:r w:rsidRPr="00FB3078">
        <w:rPr>
          <w:rFonts w:asciiTheme="minorHAnsi" w:hAnsiTheme="minorHAnsi" w:cstheme="minorHAnsi"/>
          <w:sz w:val="24"/>
          <w:szCs w:val="24"/>
        </w:rPr>
        <w:t xml:space="preserve">Spektrix and Illuminate data and analyse existing use. To also attend </w:t>
      </w:r>
      <w:r w:rsidRPr="00FB3078">
        <w:rPr>
          <w:rFonts w:asciiTheme="minorHAnsi" w:eastAsia="Times New Roman" w:hAnsiTheme="minorHAnsi" w:cstheme="minorHAnsi"/>
          <w:sz w:val="24"/>
          <w:szCs w:val="24"/>
        </w:rPr>
        <w:t xml:space="preserve">three 'inviting views' </w:t>
      </w:r>
      <w:r w:rsidR="00A7203F" w:rsidRPr="00FB3078">
        <w:rPr>
          <w:rFonts w:asciiTheme="minorHAnsi" w:eastAsia="Times New Roman" w:hAnsiTheme="minorHAnsi" w:cstheme="minorHAnsi"/>
          <w:sz w:val="24"/>
          <w:szCs w:val="24"/>
        </w:rPr>
        <w:t xml:space="preserve">community </w:t>
      </w:r>
      <w:r w:rsidRPr="00FB3078">
        <w:rPr>
          <w:rFonts w:asciiTheme="minorHAnsi" w:eastAsia="Times New Roman" w:hAnsiTheme="minorHAnsi" w:cstheme="minorHAnsi"/>
          <w:sz w:val="24"/>
          <w:szCs w:val="24"/>
        </w:rPr>
        <w:t xml:space="preserve">events (consultations) at heritage sites (at Wardown, Stockwood and Hat District) and </w:t>
      </w:r>
      <w:r w:rsidRPr="00FB3078">
        <w:rPr>
          <w:rFonts w:asciiTheme="minorHAnsi" w:hAnsiTheme="minorHAnsi" w:cstheme="minorHAnsi"/>
          <w:sz w:val="24"/>
          <w:szCs w:val="24"/>
        </w:rPr>
        <w:t xml:space="preserve">engage customers in meaningful discussions about provision, services and ideas for improvement, to document this data and evidence to inform improvement. </w:t>
      </w:r>
    </w:p>
    <w:p w14:paraId="08A35A48" w14:textId="4168F80C" w:rsidR="00CE7645" w:rsidRPr="00FB3078" w:rsidRDefault="00CE7645" w:rsidP="00A7203F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 xml:space="preserve">Customer Service Operational </w:t>
      </w:r>
      <w:r w:rsidR="005238C0" w:rsidRPr="00FB3078">
        <w:rPr>
          <w:rFonts w:asciiTheme="minorHAnsi" w:hAnsiTheme="minorHAnsi" w:cstheme="minorHAnsi"/>
          <w:b/>
          <w:sz w:val="24"/>
          <w:szCs w:val="24"/>
        </w:rPr>
        <w:t>Review</w:t>
      </w:r>
      <w:r w:rsidR="003F685C" w:rsidRPr="00FB3078">
        <w:rPr>
          <w:rFonts w:asciiTheme="minorHAnsi" w:hAnsiTheme="minorHAnsi" w:cstheme="minorHAnsi"/>
          <w:b/>
          <w:sz w:val="24"/>
          <w:szCs w:val="24"/>
        </w:rPr>
        <w:t>:</w:t>
      </w:r>
      <w:r w:rsidRPr="00FB30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078">
        <w:rPr>
          <w:rFonts w:asciiTheme="minorHAnsi" w:hAnsiTheme="minorHAnsi" w:cstheme="minorHAnsi"/>
          <w:sz w:val="24"/>
          <w:szCs w:val="24"/>
        </w:rPr>
        <w:t xml:space="preserve">To examine and review our customer services across our three sites, and digitally through visits, engaging in discussions with customers, observation and surveys.  </w:t>
      </w:r>
    </w:p>
    <w:p w14:paraId="7DCB34F3" w14:textId="77777777" w:rsidR="00CE7645" w:rsidRPr="00FB3078" w:rsidRDefault="00CE7645" w:rsidP="00A7203F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>Data review:</w:t>
      </w:r>
      <w:r w:rsidRPr="00FB3078">
        <w:rPr>
          <w:rFonts w:asciiTheme="minorHAnsi" w:hAnsiTheme="minorHAnsi" w:cstheme="minorHAnsi"/>
          <w:sz w:val="24"/>
          <w:szCs w:val="24"/>
        </w:rPr>
        <w:t xml:space="preserve"> To review operational processes, staffing, opening hours and service provision across all three sites</w:t>
      </w:r>
      <w:r w:rsidRPr="00FB3078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77BB4257" w14:textId="7300B7C0" w:rsidR="00CE7645" w:rsidRPr="00FB3078" w:rsidRDefault="00CE7645" w:rsidP="00A7203F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>Community Engagement</w:t>
      </w:r>
      <w:r w:rsidRPr="00FB3078">
        <w:rPr>
          <w:rFonts w:asciiTheme="minorHAnsi" w:eastAsia="Times New Roman" w:hAnsiTheme="minorHAnsi" w:cstheme="minorHAnsi"/>
          <w:sz w:val="24"/>
          <w:szCs w:val="24"/>
        </w:rPr>
        <w:t xml:space="preserve">: To </w:t>
      </w:r>
      <w:r w:rsidR="00221211" w:rsidRPr="00FB3078">
        <w:rPr>
          <w:rFonts w:asciiTheme="minorHAnsi" w:eastAsia="Times New Roman" w:hAnsiTheme="minorHAnsi" w:cstheme="minorHAnsi"/>
          <w:sz w:val="24"/>
          <w:szCs w:val="24"/>
        </w:rPr>
        <w:t xml:space="preserve">Design, </w:t>
      </w:r>
      <w:r w:rsidR="00864281" w:rsidRPr="00FB3078">
        <w:rPr>
          <w:rFonts w:asciiTheme="minorHAnsi" w:eastAsia="Times New Roman" w:hAnsiTheme="minorHAnsi" w:cstheme="minorHAnsi"/>
          <w:sz w:val="24"/>
          <w:szCs w:val="24"/>
        </w:rPr>
        <w:t xml:space="preserve">develop </w:t>
      </w:r>
      <w:r w:rsidR="00221211" w:rsidRPr="00FB3078">
        <w:rPr>
          <w:rFonts w:asciiTheme="minorHAnsi" w:eastAsia="Times New Roman" w:hAnsiTheme="minorHAnsi" w:cstheme="minorHAnsi"/>
          <w:sz w:val="24"/>
          <w:szCs w:val="24"/>
        </w:rPr>
        <w:t xml:space="preserve">and deliver </w:t>
      </w:r>
      <w:r w:rsidR="00864281" w:rsidRPr="00FB3078">
        <w:rPr>
          <w:rFonts w:asciiTheme="minorHAnsi" w:eastAsia="Times New Roman" w:hAnsiTheme="minorHAnsi" w:cstheme="minorHAnsi"/>
          <w:sz w:val="24"/>
          <w:szCs w:val="24"/>
        </w:rPr>
        <w:t>outr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 xml:space="preserve">each and consultation surveys and activities with the Project Manager to gather views and insights. </w:t>
      </w:r>
      <w:r w:rsidR="00864281" w:rsidRPr="00FB30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13C89" w:rsidRPr="00FB3078">
        <w:rPr>
          <w:rFonts w:asciiTheme="minorHAnsi" w:hAnsiTheme="minorHAnsi" w:cstheme="minorHAnsi"/>
          <w:sz w:val="24"/>
          <w:szCs w:val="24"/>
        </w:rPr>
        <w:t>We seek to engage with</w:t>
      </w:r>
      <w:r w:rsidR="00650050" w:rsidRPr="00FB3078">
        <w:rPr>
          <w:rFonts w:asciiTheme="minorHAnsi" w:hAnsiTheme="minorHAnsi" w:cstheme="minorHAnsi"/>
          <w:sz w:val="24"/>
          <w:szCs w:val="24"/>
        </w:rPr>
        <w:t xml:space="preserve"> knowledge of a diverse range of cultures and to grow</w:t>
      </w:r>
      <w:r w:rsidRPr="00FB3078">
        <w:rPr>
          <w:rFonts w:asciiTheme="minorHAnsi" w:hAnsiTheme="minorHAnsi" w:cstheme="minorHAnsi"/>
          <w:sz w:val="24"/>
          <w:szCs w:val="24"/>
        </w:rPr>
        <w:t>. To plan a methodology for drawing data from non-users living one mile around our sites. For this method to be combined with our creative activity programme with communities and schools led by the Project Manage</w:t>
      </w:r>
      <w:r w:rsidR="003F685C" w:rsidRPr="00FB3078">
        <w:rPr>
          <w:rFonts w:asciiTheme="minorHAnsi" w:hAnsiTheme="minorHAnsi" w:cstheme="minorHAnsi"/>
          <w:sz w:val="24"/>
          <w:szCs w:val="24"/>
        </w:rPr>
        <w:t>r</w:t>
      </w:r>
      <w:r w:rsidRPr="00FB307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ECEB61" w14:textId="178E4493" w:rsidR="00B33DFD" w:rsidRPr="00FB3078" w:rsidRDefault="001B0B43" w:rsidP="00A7203F">
      <w:pPr>
        <w:pStyle w:val="ListParagraph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>Write</w:t>
      </w:r>
      <w:r w:rsidR="00AE10D5" w:rsidRPr="00FB307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 xml:space="preserve">the </w:t>
      </w:r>
      <w:r w:rsidR="00DF013C" w:rsidRPr="00FB3078">
        <w:rPr>
          <w:rFonts w:asciiTheme="minorHAnsi" w:eastAsia="Times New Roman" w:hAnsiTheme="minorHAnsi" w:cstheme="minorHAnsi"/>
          <w:b/>
          <w:sz w:val="24"/>
          <w:szCs w:val="24"/>
        </w:rPr>
        <w:t xml:space="preserve">‘Re-connect’ </w:t>
      </w:r>
      <w:r w:rsidR="00513C89" w:rsidRPr="00FB3078">
        <w:rPr>
          <w:rFonts w:asciiTheme="minorHAnsi" w:eastAsia="Times New Roman" w:hAnsiTheme="minorHAnsi" w:cstheme="minorHAnsi"/>
          <w:b/>
          <w:sz w:val="24"/>
          <w:szCs w:val="24"/>
        </w:rPr>
        <w:t xml:space="preserve">customer service </w:t>
      </w:r>
      <w:r w:rsidR="005238C0" w:rsidRPr="00FB3078">
        <w:rPr>
          <w:rFonts w:asciiTheme="minorHAnsi" w:eastAsia="Times New Roman" w:hAnsiTheme="minorHAnsi" w:cstheme="minorHAnsi"/>
          <w:b/>
          <w:sz w:val="24"/>
          <w:szCs w:val="24"/>
        </w:rPr>
        <w:t>operational review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04401" w:rsidRPr="00FB3078">
        <w:rPr>
          <w:rFonts w:asciiTheme="minorHAnsi" w:eastAsia="Times New Roman" w:hAnsiTheme="minorHAnsi" w:cstheme="minorHAnsi"/>
          <w:sz w:val="24"/>
          <w:szCs w:val="24"/>
        </w:rPr>
        <w:t xml:space="preserve">based on 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>audience research, data</w:t>
      </w:r>
      <w:r w:rsidR="00CE7645" w:rsidRPr="00FB3078">
        <w:rPr>
          <w:rFonts w:asciiTheme="minorHAnsi" w:eastAsia="Times New Roman" w:hAnsiTheme="minorHAnsi" w:cstheme="minorHAnsi"/>
          <w:sz w:val="24"/>
          <w:szCs w:val="24"/>
        </w:rPr>
        <w:t xml:space="preserve"> review and </w:t>
      </w:r>
      <w:r w:rsidR="003F685C" w:rsidRPr="00FB3078">
        <w:rPr>
          <w:rFonts w:asciiTheme="minorHAnsi" w:eastAsia="Times New Roman" w:hAnsiTheme="minorHAnsi" w:cstheme="minorHAnsi"/>
          <w:sz w:val="24"/>
          <w:szCs w:val="24"/>
        </w:rPr>
        <w:t>non-user</w:t>
      </w:r>
      <w:r w:rsidR="00CE7645" w:rsidRPr="00FB3078">
        <w:rPr>
          <w:rFonts w:asciiTheme="minorHAnsi" w:eastAsia="Times New Roman" w:hAnsiTheme="minorHAnsi" w:cstheme="minorHAnsi"/>
          <w:sz w:val="24"/>
          <w:szCs w:val="24"/>
        </w:rPr>
        <w:t xml:space="preserve"> insights. To work with the Culture Trust teams on combining aspiration for best quality services with 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 xml:space="preserve">affordability and budgets. </w:t>
      </w:r>
      <w:r w:rsidR="00CE7645" w:rsidRPr="00FB3078">
        <w:rPr>
          <w:rFonts w:asciiTheme="minorHAnsi" w:hAnsiTheme="minorHAnsi" w:cstheme="minorHAnsi"/>
          <w:color w:val="000000"/>
          <w:sz w:val="24"/>
          <w:szCs w:val="24"/>
        </w:rPr>
        <w:t xml:space="preserve">To produce evidence based recommendations on </w:t>
      </w:r>
      <w:r w:rsidR="00F80F74" w:rsidRPr="00FB3078">
        <w:rPr>
          <w:rFonts w:asciiTheme="minorHAnsi" w:hAnsiTheme="minorHAnsi" w:cstheme="minorHAnsi"/>
          <w:color w:val="000000"/>
          <w:sz w:val="24"/>
          <w:szCs w:val="24"/>
        </w:rPr>
        <w:t xml:space="preserve">physical and digital </w:t>
      </w:r>
      <w:r w:rsidR="00F80F74" w:rsidRPr="00FB3078">
        <w:rPr>
          <w:rFonts w:asciiTheme="minorHAnsi" w:eastAsia="Times New Roman" w:hAnsiTheme="minorHAnsi" w:cstheme="minorHAnsi"/>
          <w:sz w:val="24"/>
          <w:szCs w:val="24"/>
        </w:rPr>
        <w:t xml:space="preserve">service point improvement, </w:t>
      </w:r>
      <w:r w:rsidR="00CE7645" w:rsidRPr="00FB3078">
        <w:rPr>
          <w:rFonts w:asciiTheme="minorHAnsi" w:hAnsiTheme="minorHAnsi" w:cstheme="minorHAnsi"/>
          <w:color w:val="000000"/>
          <w:sz w:val="24"/>
          <w:szCs w:val="24"/>
        </w:rPr>
        <w:t xml:space="preserve">opening hours, operational structures, </w:t>
      </w:r>
      <w:r w:rsidR="00CE7645" w:rsidRPr="00FB3078">
        <w:rPr>
          <w:rFonts w:asciiTheme="minorHAnsi" w:eastAsia="Times New Roman" w:hAnsiTheme="minorHAnsi" w:cstheme="minorHAnsi"/>
          <w:sz w:val="24"/>
          <w:szCs w:val="24"/>
        </w:rPr>
        <w:t xml:space="preserve">team and </w:t>
      </w:r>
      <w:r w:rsidR="00F80F74" w:rsidRPr="00FB3078">
        <w:rPr>
          <w:rFonts w:asciiTheme="minorHAnsi" w:eastAsia="Times New Roman" w:hAnsiTheme="minorHAnsi" w:cstheme="minorHAnsi"/>
          <w:sz w:val="24"/>
          <w:szCs w:val="24"/>
        </w:rPr>
        <w:t>volunteer timetabling. To also demonstrate how improvement shall lead to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 xml:space="preserve"> increase</w:t>
      </w:r>
      <w:r w:rsidR="00F80F74" w:rsidRPr="00FB3078">
        <w:rPr>
          <w:rFonts w:asciiTheme="minorHAnsi" w:eastAsia="Times New Roman" w:hAnsiTheme="minorHAnsi" w:cstheme="minorHAnsi"/>
          <w:sz w:val="24"/>
          <w:szCs w:val="24"/>
        </w:rPr>
        <w:t>d customer satisfaction and more</w:t>
      </w:r>
      <w:r w:rsidR="005238C0" w:rsidRPr="00FB3078">
        <w:rPr>
          <w:rFonts w:asciiTheme="minorHAnsi" w:eastAsia="Times New Roman" w:hAnsiTheme="minorHAnsi" w:cstheme="minorHAnsi"/>
          <w:sz w:val="24"/>
          <w:szCs w:val="24"/>
        </w:rPr>
        <w:t xml:space="preserve"> visitors</w:t>
      </w:r>
      <w:r w:rsidR="00F80F74" w:rsidRPr="00FB3078">
        <w:rPr>
          <w:rFonts w:asciiTheme="minorHAnsi" w:eastAsia="Times New Roman" w:hAnsiTheme="minorHAnsi" w:cstheme="minorHAnsi"/>
          <w:sz w:val="24"/>
          <w:szCs w:val="24"/>
        </w:rPr>
        <w:t xml:space="preserve">. To develop a feasible short-term delivery plan (6-9 months) </w:t>
      </w:r>
      <w:r w:rsidR="00F80F74" w:rsidRPr="00FB3078">
        <w:rPr>
          <w:rFonts w:asciiTheme="minorHAnsi" w:hAnsiTheme="minorHAnsi" w:cstheme="minorHAnsi"/>
          <w:sz w:val="24"/>
          <w:szCs w:val="24"/>
        </w:rPr>
        <w:t>w</w:t>
      </w:r>
      <w:r w:rsidR="00CD3BED" w:rsidRPr="00FB3078">
        <w:rPr>
          <w:rFonts w:asciiTheme="minorHAnsi" w:hAnsiTheme="minorHAnsi" w:cstheme="minorHAnsi"/>
          <w:sz w:val="24"/>
          <w:szCs w:val="24"/>
        </w:rPr>
        <w:t>ork</w:t>
      </w:r>
      <w:r w:rsidR="00E34F24" w:rsidRPr="00FB3078">
        <w:rPr>
          <w:rFonts w:asciiTheme="minorHAnsi" w:hAnsiTheme="minorHAnsi" w:cstheme="minorHAnsi"/>
          <w:sz w:val="24"/>
          <w:szCs w:val="24"/>
        </w:rPr>
        <w:t>ing</w:t>
      </w:r>
      <w:r w:rsidR="00CD3BED" w:rsidRPr="00FB3078">
        <w:rPr>
          <w:rFonts w:asciiTheme="minorHAnsi" w:hAnsiTheme="minorHAnsi" w:cstheme="minorHAnsi"/>
          <w:sz w:val="24"/>
          <w:szCs w:val="24"/>
        </w:rPr>
        <w:t xml:space="preserve"> with</w:t>
      </w:r>
      <w:r w:rsidR="00DF013C" w:rsidRPr="00FB3078">
        <w:rPr>
          <w:rFonts w:asciiTheme="minorHAnsi" w:hAnsiTheme="minorHAnsi" w:cstheme="minorHAnsi"/>
          <w:sz w:val="24"/>
          <w:szCs w:val="24"/>
        </w:rPr>
        <w:t xml:space="preserve"> the </w:t>
      </w:r>
      <w:r w:rsidR="00513C89" w:rsidRPr="00FB3078">
        <w:rPr>
          <w:rFonts w:asciiTheme="minorHAnsi" w:hAnsiTheme="minorHAnsi" w:cstheme="minorHAnsi"/>
          <w:sz w:val="24"/>
          <w:szCs w:val="24"/>
        </w:rPr>
        <w:t xml:space="preserve">Director of Customer Experience and </w:t>
      </w:r>
      <w:r w:rsidR="00F80F74" w:rsidRPr="00FB3078">
        <w:rPr>
          <w:rFonts w:asciiTheme="minorHAnsi" w:hAnsiTheme="minorHAnsi" w:cstheme="minorHAnsi"/>
          <w:sz w:val="24"/>
          <w:szCs w:val="24"/>
        </w:rPr>
        <w:t>Head of Operations and Head of Finance and HR.</w:t>
      </w:r>
    </w:p>
    <w:p w14:paraId="4D0ED81B" w14:textId="1834FE3D" w:rsidR="00692A35" w:rsidRPr="00FB3078" w:rsidRDefault="00692A35" w:rsidP="00A7203F">
      <w:pPr>
        <w:pStyle w:val="ListParagraph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B3078">
        <w:rPr>
          <w:rFonts w:asciiTheme="minorHAnsi" w:eastAsia="Times New Roman" w:hAnsiTheme="minorHAnsi" w:cstheme="minorHAnsi"/>
          <w:b/>
          <w:sz w:val="24"/>
          <w:szCs w:val="24"/>
        </w:rPr>
        <w:t>Digital systems</w:t>
      </w:r>
      <w:r w:rsidR="003F685C" w:rsidRPr="00FB3078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FB3078">
        <w:rPr>
          <w:rFonts w:asciiTheme="minorHAnsi" w:eastAsia="Times New Roman" w:hAnsiTheme="minorHAnsi" w:cstheme="minorHAnsi"/>
          <w:sz w:val="24"/>
          <w:szCs w:val="24"/>
        </w:rPr>
        <w:t xml:space="preserve"> To advise on methods for gathering data on visitors to our free sites, considering how we can gain accurate data about their use and characteristics that will help us better fo</w:t>
      </w:r>
      <w:r w:rsidR="003F685C" w:rsidRPr="00FB3078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FB3078">
        <w:rPr>
          <w:rFonts w:asciiTheme="minorHAnsi" w:eastAsia="Times New Roman" w:hAnsiTheme="minorHAnsi" w:cstheme="minorHAnsi"/>
          <w:sz w:val="24"/>
          <w:szCs w:val="24"/>
        </w:rPr>
        <w:t xml:space="preserve">m digital customer relationships with them and understand frequency of use across multiple sites. </w:t>
      </w:r>
    </w:p>
    <w:p w14:paraId="6369E950" w14:textId="5311E3B5" w:rsidR="004438CD" w:rsidRPr="00FB3078" w:rsidRDefault="004438CD" w:rsidP="004438CD">
      <w:pPr>
        <w:pStyle w:val="ListParagraph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 xml:space="preserve">General: </w:t>
      </w:r>
      <w:r w:rsidR="00355204" w:rsidRPr="00FB30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Induction attendance, reporting, record keeping, documentation, administration, presentations and meeting attendance. To work flexibly and positively to achieve the objectives of the project and over-all business plan and charitable objectives </w:t>
      </w:r>
      <w:r w:rsidR="00355204" w:rsidRPr="00FB307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of the Culture Trust, Luton whilst adhering to Trust policies and procedures. Maintenance of public and professional liability insurances for the duration of the project.</w:t>
      </w:r>
    </w:p>
    <w:p w14:paraId="266DF558" w14:textId="77777777" w:rsidR="004438CD" w:rsidRPr="00FB3078" w:rsidRDefault="004438CD" w:rsidP="004438CD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B51304D" w14:textId="5452F54E" w:rsidR="00230769" w:rsidRPr="00FB3078" w:rsidRDefault="00230769" w:rsidP="001B5FA7">
      <w:pPr>
        <w:spacing w:before="240" w:after="240"/>
        <w:rPr>
          <w:rFonts w:asciiTheme="minorHAnsi" w:hAnsiTheme="minorHAnsi" w:cstheme="minorHAnsi"/>
          <w:b/>
          <w:sz w:val="24"/>
          <w:szCs w:val="24"/>
        </w:rPr>
      </w:pPr>
      <w:r w:rsidRPr="00FB3078">
        <w:rPr>
          <w:rFonts w:asciiTheme="minorHAnsi" w:hAnsiTheme="minorHAnsi" w:cstheme="minorHAnsi"/>
          <w:b/>
          <w:sz w:val="24"/>
          <w:szCs w:val="24"/>
        </w:rPr>
        <w:t xml:space="preserve">How to make a submission </w:t>
      </w:r>
    </w:p>
    <w:p w14:paraId="64B6BF5B" w14:textId="2325BCF9" w:rsidR="00230769" w:rsidRPr="00FB3078" w:rsidRDefault="008161D3" w:rsidP="001B5FA7">
      <w:pPr>
        <w:spacing w:before="240" w:after="240"/>
        <w:rPr>
          <w:rFonts w:asciiTheme="minorHAnsi" w:hAnsiTheme="minorHAnsi" w:cstheme="minorHAnsi"/>
          <w:b/>
          <w:sz w:val="24"/>
          <w:szCs w:val="24"/>
        </w:rPr>
      </w:pPr>
      <w:r w:rsidRPr="00FB3078">
        <w:rPr>
          <w:rFonts w:asciiTheme="minorHAnsi" w:hAnsiTheme="minorHAnsi" w:cstheme="minorHAnsi"/>
          <w:color w:val="000000" w:themeColor="text1"/>
          <w:sz w:val="24"/>
          <w:szCs w:val="24"/>
        </w:rPr>
        <w:t>Consultant(s)</w:t>
      </w:r>
      <w:r w:rsidR="00230769" w:rsidRPr="00FB30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asked to submit an application for this fixed term contract.  It shall be assessed against the following information which you will need to supply</w:t>
      </w:r>
      <w:r w:rsidR="00230769" w:rsidRPr="00FB3078">
        <w:rPr>
          <w:rFonts w:asciiTheme="minorHAnsi" w:hAnsiTheme="minorHAnsi" w:cstheme="minorHAnsi"/>
          <w:sz w:val="24"/>
          <w:szCs w:val="24"/>
        </w:rPr>
        <w:t xml:space="preserve"> in one document (PDF) that can be emailed or printed submission that is posted to be received by the closing date.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1389"/>
      </w:tblGrid>
      <w:tr w:rsidR="00230769" w:rsidRPr="00FB3078" w14:paraId="394A3FC6" w14:textId="77777777" w:rsidTr="00036F73">
        <w:tc>
          <w:tcPr>
            <w:tcW w:w="1696" w:type="dxa"/>
            <w:shd w:val="clear" w:color="auto" w:fill="D9D9D9" w:themeFill="background1" w:themeFillShade="D9"/>
          </w:tcPr>
          <w:p w14:paraId="51D7E78A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Assessment area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2DA7F09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The information you should include in your tender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348574E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% of assessment</w:t>
            </w:r>
          </w:p>
        </w:tc>
      </w:tr>
      <w:tr w:rsidR="00230769" w:rsidRPr="00FB3078" w14:paraId="669ACB93" w14:textId="77777777" w:rsidTr="00036F73">
        <w:tc>
          <w:tcPr>
            <w:tcW w:w="1696" w:type="dxa"/>
          </w:tcPr>
          <w:p w14:paraId="707D7342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>30% COST: Value for Money</w:t>
            </w:r>
          </w:p>
        </w:tc>
        <w:tc>
          <w:tcPr>
            <w:tcW w:w="7088" w:type="dxa"/>
          </w:tcPr>
          <w:p w14:paraId="17BB8D23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>For the fully inclusive fee of to provide</w:t>
            </w:r>
            <w:r w:rsidRPr="00FB3078">
              <w:rPr>
                <w:rFonts w:asciiTheme="minorHAnsi" w:hAnsiTheme="minorHAnsi" w:cstheme="minorHAnsi"/>
                <w:sz w:val="24"/>
                <w:szCs w:val="24"/>
              </w:rPr>
              <w:t xml:space="preserve"> a full break-down of costs - this should include your day rate and allocation of days throughout the year. To itemise other costs included in this fixed fee.  </w:t>
            </w:r>
          </w:p>
        </w:tc>
        <w:tc>
          <w:tcPr>
            <w:tcW w:w="1389" w:type="dxa"/>
          </w:tcPr>
          <w:p w14:paraId="11222965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230769" w:rsidRPr="00FB3078" w14:paraId="36990B4C" w14:textId="77777777" w:rsidTr="00036F73">
        <w:trPr>
          <w:trHeight w:val="665"/>
        </w:trPr>
        <w:tc>
          <w:tcPr>
            <w:tcW w:w="1696" w:type="dxa"/>
            <w:vMerge w:val="restart"/>
          </w:tcPr>
          <w:p w14:paraId="5B80B5F8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70% </w:t>
            </w:r>
          </w:p>
          <w:p w14:paraId="73D1D6B0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EXPERIENCE, SKILLS &amp; ABILITY </w:t>
            </w:r>
          </w:p>
        </w:tc>
        <w:tc>
          <w:tcPr>
            <w:tcW w:w="7088" w:type="dxa"/>
          </w:tcPr>
          <w:p w14:paraId="542617D8" w14:textId="77777777" w:rsidR="00230769" w:rsidRPr="00FB3078" w:rsidRDefault="00230769" w:rsidP="001B5FA7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letter of application and CV demonstrating the following:</w:t>
            </w:r>
            <w:r w:rsidRPr="00FB307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46DA7B0" w14:textId="77777777" w:rsidR="00230769" w:rsidRPr="00FB3078" w:rsidRDefault="00230769" w:rsidP="001B5FA7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eastAsia="Times New Roman" w:hAnsiTheme="minorHAnsi" w:cstheme="minorHAnsi"/>
                <w:sz w:val="24"/>
                <w:szCs w:val="24"/>
              </w:rPr>
              <w:t>Skills &amp; Experience to deliver the Key responsibilities and ability to produce outputs to a high standard (50%)</w:t>
            </w:r>
          </w:p>
        </w:tc>
        <w:tc>
          <w:tcPr>
            <w:tcW w:w="1389" w:type="dxa"/>
            <w:vMerge w:val="restart"/>
          </w:tcPr>
          <w:p w14:paraId="0DC6EC33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70%</w:t>
            </w:r>
          </w:p>
          <w:p w14:paraId="23600B2A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0769" w:rsidRPr="00FB3078" w14:paraId="256A3A1F" w14:textId="77777777" w:rsidTr="00036F73">
        <w:tc>
          <w:tcPr>
            <w:tcW w:w="1696" w:type="dxa"/>
            <w:vMerge/>
          </w:tcPr>
          <w:p w14:paraId="28532F90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546FB2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>Two references</w:t>
            </w:r>
            <w:r w:rsidRPr="00FB3078">
              <w:rPr>
                <w:rFonts w:asciiTheme="minorHAnsi" w:hAnsiTheme="minorHAnsi" w:cstheme="minorHAnsi"/>
                <w:sz w:val="24"/>
                <w:szCs w:val="24"/>
              </w:rPr>
              <w:t xml:space="preserve"> from a client or an organisation who has commissioned or employed you for work similar to this brief. </w:t>
            </w:r>
          </w:p>
          <w:p w14:paraId="344DC4F9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sz w:val="24"/>
                <w:szCs w:val="24"/>
              </w:rPr>
              <w:t>Excellent track record of working to deliver to client expectations (10%)</w:t>
            </w:r>
          </w:p>
        </w:tc>
        <w:tc>
          <w:tcPr>
            <w:tcW w:w="1389" w:type="dxa"/>
            <w:vMerge/>
          </w:tcPr>
          <w:p w14:paraId="268A5EF9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0769" w:rsidRPr="00FB3078" w14:paraId="17F84B65" w14:textId="77777777" w:rsidTr="00036F73">
        <w:tc>
          <w:tcPr>
            <w:tcW w:w="1696" w:type="dxa"/>
            <w:vMerge/>
          </w:tcPr>
          <w:p w14:paraId="77446B8F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6DF44EA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/>
                <w:sz w:val="24"/>
                <w:szCs w:val="24"/>
              </w:rPr>
              <w:t>Availability</w:t>
            </w:r>
            <w:r w:rsidRPr="00FB3078">
              <w:rPr>
                <w:rFonts w:asciiTheme="minorHAnsi" w:hAnsiTheme="minorHAnsi" w:cstheme="minorHAnsi"/>
                <w:sz w:val="24"/>
                <w:szCs w:val="24"/>
              </w:rPr>
              <w:t xml:space="preserve"> to meet timescale, outlining the start and finish date (10%)</w:t>
            </w:r>
          </w:p>
        </w:tc>
        <w:tc>
          <w:tcPr>
            <w:tcW w:w="1389" w:type="dxa"/>
            <w:vMerge/>
          </w:tcPr>
          <w:p w14:paraId="0E637125" w14:textId="77777777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30769" w:rsidRPr="00FB3078" w14:paraId="48F11DC5" w14:textId="77777777" w:rsidTr="00036F73">
        <w:trPr>
          <w:trHeight w:val="260"/>
        </w:trPr>
        <w:tc>
          <w:tcPr>
            <w:tcW w:w="10173" w:type="dxa"/>
            <w:gridSpan w:val="3"/>
          </w:tcPr>
          <w:p w14:paraId="2B7128F3" w14:textId="263C0C06" w:rsidR="00230769" w:rsidRPr="00FB3078" w:rsidRDefault="00230769" w:rsidP="001B5FA7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0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Please send your submission to </w:t>
            </w:r>
            <w:hyperlink r:id="rId9" w:history="1">
              <w:r w:rsidRPr="00FB3078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  <w:u w:val="none"/>
                </w:rPr>
                <w:t>fuschia.burton@culturetrust.com</w:t>
              </w:r>
            </w:hyperlink>
            <w:r w:rsidRPr="00FB30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, or by post to Fuschia Burton, The Hat Factory Arts Centre, 65-67 Bute Street, Luton, Beds, LU1 2EY to arrive no later than midday </w:t>
            </w:r>
          </w:p>
          <w:p w14:paraId="2F3CC227" w14:textId="2803CB0E" w:rsidR="00230769" w:rsidRPr="00FB3078" w:rsidRDefault="002771BF" w:rsidP="001B5FA7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14 March 2025</w:t>
            </w:r>
            <w:r w:rsidR="00674D6C" w:rsidRPr="00FB30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0769" w:rsidRPr="00FB307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(which is the closing date)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50FF2F8" w14:textId="77777777" w:rsidR="00230769" w:rsidRPr="00FB3078" w:rsidRDefault="00230769" w:rsidP="001B5FA7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E8FD38" w14:textId="215CCC4D" w:rsidR="00230769" w:rsidRPr="00FB3078" w:rsidRDefault="00230769" w:rsidP="001B5FA7">
      <w:pPr>
        <w:spacing w:before="240" w:after="240"/>
        <w:rPr>
          <w:rFonts w:asciiTheme="minorHAnsi" w:hAnsiTheme="minorHAnsi" w:cstheme="minorHAnsi"/>
          <w:sz w:val="24"/>
          <w:szCs w:val="24"/>
        </w:rPr>
      </w:pPr>
    </w:p>
    <w:p w14:paraId="4A1EF183" w14:textId="77777777" w:rsidR="00D7166C" w:rsidRPr="00FB3078" w:rsidRDefault="00D7166C" w:rsidP="001B5FA7">
      <w:pPr>
        <w:spacing w:before="240" w:after="240"/>
        <w:rPr>
          <w:rFonts w:asciiTheme="minorHAnsi" w:hAnsiTheme="minorHAnsi" w:cstheme="minorHAnsi"/>
          <w:sz w:val="20"/>
          <w:szCs w:val="20"/>
        </w:rPr>
      </w:pPr>
    </w:p>
    <w:sectPr w:rsidR="00D7166C" w:rsidRPr="00FB3078" w:rsidSect="00E34F24">
      <w:headerReference w:type="default" r:id="rId10"/>
      <w:footerReference w:type="default" r:id="rId11"/>
      <w:pgSz w:w="11906" w:h="16838" w:code="9"/>
      <w:pgMar w:top="1135" w:right="141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0B30" w14:textId="77777777" w:rsidR="00B9657F" w:rsidRDefault="00B9657F">
      <w:r>
        <w:separator/>
      </w:r>
    </w:p>
  </w:endnote>
  <w:endnote w:type="continuationSeparator" w:id="0">
    <w:p w14:paraId="3C69A695" w14:textId="77777777" w:rsidR="00B9657F" w:rsidRDefault="00B9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6771" w14:textId="77777777" w:rsidR="00B07A84" w:rsidRPr="002E1324" w:rsidRDefault="00B07A84" w:rsidP="002E1324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z w:val="16"/>
        <w:szCs w:val="16"/>
      </w:rPr>
    </w:pPr>
    <w:r w:rsidRPr="002E1324">
      <w:rPr>
        <w:rFonts w:ascii="Arial" w:hAnsi="Arial" w:cs="Arial"/>
        <w:sz w:val="16"/>
        <w:szCs w:val="16"/>
      </w:rPr>
      <w:t xml:space="preserve">- </w:t>
    </w:r>
    <w:r w:rsidRPr="002E1324">
      <w:rPr>
        <w:rFonts w:ascii="Arial" w:hAnsi="Arial" w:cs="Arial"/>
        <w:sz w:val="16"/>
        <w:szCs w:val="16"/>
      </w:rPr>
      <w:fldChar w:fldCharType="begin"/>
    </w:r>
    <w:r w:rsidRPr="002E1324">
      <w:rPr>
        <w:rFonts w:ascii="Arial" w:hAnsi="Arial" w:cs="Arial"/>
        <w:sz w:val="16"/>
        <w:szCs w:val="16"/>
      </w:rPr>
      <w:instrText xml:space="preserve"> PAGE </w:instrText>
    </w:r>
    <w:r w:rsidRPr="002E1324">
      <w:rPr>
        <w:rFonts w:ascii="Arial" w:hAnsi="Arial" w:cs="Arial"/>
        <w:sz w:val="16"/>
        <w:szCs w:val="16"/>
      </w:rPr>
      <w:fldChar w:fldCharType="separate"/>
    </w:r>
    <w:r w:rsidR="008F698B">
      <w:rPr>
        <w:rFonts w:ascii="Arial" w:hAnsi="Arial" w:cs="Arial"/>
        <w:noProof/>
        <w:sz w:val="16"/>
        <w:szCs w:val="16"/>
      </w:rPr>
      <w:t>1</w:t>
    </w:r>
    <w:r w:rsidRPr="002E1324">
      <w:rPr>
        <w:rFonts w:ascii="Arial" w:hAnsi="Arial" w:cs="Arial"/>
        <w:sz w:val="16"/>
        <w:szCs w:val="16"/>
      </w:rPr>
      <w:fldChar w:fldCharType="end"/>
    </w:r>
    <w:r w:rsidRPr="002E1324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C6B5" w14:textId="77777777" w:rsidR="00B9657F" w:rsidRDefault="00B9657F">
      <w:r>
        <w:separator/>
      </w:r>
    </w:p>
  </w:footnote>
  <w:footnote w:type="continuationSeparator" w:id="0">
    <w:p w14:paraId="04C7FAFD" w14:textId="77777777" w:rsidR="00B9657F" w:rsidRDefault="00B9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4768" w14:textId="77777777" w:rsidR="00F14488" w:rsidRDefault="00F14488" w:rsidP="00F14488">
    <w:pPr>
      <w:pStyle w:val="NormalWeb"/>
      <w:rPr>
        <w:noProof/>
      </w:rPr>
    </w:pPr>
    <w:r>
      <w:rPr>
        <w:noProof/>
      </w:rPr>
      <w:drawing>
        <wp:inline distT="0" distB="0" distL="0" distR="0" wp14:anchorId="6F5617E0" wp14:editId="0AF23459">
          <wp:extent cx="2065640" cy="1146810"/>
          <wp:effectExtent l="0" t="0" r="0" b="0"/>
          <wp:docPr id="5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196" cy="117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5E4CA00" wp14:editId="35261D32">
          <wp:extent cx="1149350" cy="1149350"/>
          <wp:effectExtent l="0" t="0" r="0" b="0"/>
          <wp:docPr id="2" name="Picture 1" descr="A blue circle with a hand gestur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circle with a hand gestur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C53A1" w14:textId="08CF01E4" w:rsidR="00B07A84" w:rsidRPr="00F14488" w:rsidRDefault="00F14488" w:rsidP="00F14488">
    <w:pPr>
      <w:pStyle w:val="NormalWeb"/>
      <w:jc w:val="right"/>
      <w:rPr>
        <w:noProof/>
      </w:rPr>
    </w:pPr>
    <w:r>
      <w:rPr>
        <w:rFonts w:ascii="Calibri Light" w:hAnsi="Calibri Light" w:cs="Calibri Light"/>
        <w:color w:val="333333"/>
        <w:sz w:val="22"/>
        <w:szCs w:val="22"/>
        <w:shd w:val="clear" w:color="auto" w:fill="FFFFFF"/>
      </w:rPr>
      <w:t>Funded with thanks</w:t>
    </w:r>
    <w:r w:rsidRPr="000564C0">
      <w:rPr>
        <w:rFonts w:ascii="Calibri Light" w:hAnsi="Calibri Light" w:cs="Calibri Light"/>
        <w:color w:val="333333"/>
        <w:sz w:val="22"/>
        <w:szCs w:val="22"/>
        <w:shd w:val="clear" w:color="auto" w:fill="FFFFFF"/>
      </w:rPr>
      <w:t xml:space="preserve"> to National Lottery players</w:t>
    </w:r>
    <w:r w:rsidRPr="000564C0">
      <w:rPr>
        <w:rFonts w:ascii="Calibri Light" w:hAnsi="Calibri Light" w:cs="Calibri Light"/>
        <w:sz w:val="22"/>
        <w:szCs w:val="22"/>
      </w:rPr>
      <w:t xml:space="preserve">                                                                                                                                                 </w:t>
    </w:r>
    <w:r w:rsidRPr="000564C0">
      <w:rPr>
        <w:rFonts w:ascii="Calibri Light" w:hAnsi="Calibri Light" w:cs="Calibri Light"/>
        <w:noProof/>
        <w:sz w:val="22"/>
        <w:szCs w:val="22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322"/>
    <w:multiLevelType w:val="hybridMultilevel"/>
    <w:tmpl w:val="8C8A2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AC0"/>
    <w:multiLevelType w:val="hybridMultilevel"/>
    <w:tmpl w:val="701A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176"/>
    <w:multiLevelType w:val="hybridMultilevel"/>
    <w:tmpl w:val="6E04120A"/>
    <w:lvl w:ilvl="0" w:tplc="7178A4F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4F14"/>
    <w:multiLevelType w:val="hybridMultilevel"/>
    <w:tmpl w:val="F380F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84F0C"/>
    <w:multiLevelType w:val="hybridMultilevel"/>
    <w:tmpl w:val="6CDC9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C4E80"/>
    <w:multiLevelType w:val="hybridMultilevel"/>
    <w:tmpl w:val="AA726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42946"/>
    <w:multiLevelType w:val="hybridMultilevel"/>
    <w:tmpl w:val="2634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7C5F"/>
    <w:multiLevelType w:val="hybridMultilevel"/>
    <w:tmpl w:val="43A45C0E"/>
    <w:lvl w:ilvl="0" w:tplc="AB348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202FD"/>
    <w:multiLevelType w:val="hybridMultilevel"/>
    <w:tmpl w:val="2E3E7BBA"/>
    <w:lvl w:ilvl="0" w:tplc="BDD41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82B60"/>
    <w:multiLevelType w:val="hybridMultilevel"/>
    <w:tmpl w:val="96D889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44DE1"/>
    <w:multiLevelType w:val="hybridMultilevel"/>
    <w:tmpl w:val="2C3E8C1A"/>
    <w:lvl w:ilvl="0" w:tplc="A8C4D9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63591"/>
    <w:multiLevelType w:val="hybridMultilevel"/>
    <w:tmpl w:val="7A38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35764"/>
    <w:multiLevelType w:val="hybridMultilevel"/>
    <w:tmpl w:val="B1C6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3427F"/>
    <w:multiLevelType w:val="hybridMultilevel"/>
    <w:tmpl w:val="3600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34572"/>
    <w:multiLevelType w:val="hybridMultilevel"/>
    <w:tmpl w:val="5004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B141E"/>
    <w:multiLevelType w:val="hybridMultilevel"/>
    <w:tmpl w:val="E9D4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31A4"/>
    <w:multiLevelType w:val="hybridMultilevel"/>
    <w:tmpl w:val="489AB3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4752C"/>
    <w:multiLevelType w:val="hybridMultilevel"/>
    <w:tmpl w:val="F888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61CBB"/>
    <w:multiLevelType w:val="hybridMultilevel"/>
    <w:tmpl w:val="CC36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2439B"/>
    <w:multiLevelType w:val="hybridMultilevel"/>
    <w:tmpl w:val="C422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E29D1"/>
    <w:multiLevelType w:val="hybridMultilevel"/>
    <w:tmpl w:val="D0E0CD0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8AE6D22"/>
    <w:multiLevelType w:val="hybridMultilevel"/>
    <w:tmpl w:val="08785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687B"/>
    <w:multiLevelType w:val="hybridMultilevel"/>
    <w:tmpl w:val="29CE36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7441E"/>
    <w:multiLevelType w:val="hybridMultilevel"/>
    <w:tmpl w:val="E2E893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75FF5"/>
    <w:multiLevelType w:val="hybridMultilevel"/>
    <w:tmpl w:val="E570A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D21D4"/>
    <w:multiLevelType w:val="hybridMultilevel"/>
    <w:tmpl w:val="FA82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2DD"/>
    <w:multiLevelType w:val="hybridMultilevel"/>
    <w:tmpl w:val="FB6884D4"/>
    <w:lvl w:ilvl="0" w:tplc="162E3B8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A54B4A"/>
    <w:multiLevelType w:val="hybridMultilevel"/>
    <w:tmpl w:val="427C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E36E9"/>
    <w:multiLevelType w:val="hybridMultilevel"/>
    <w:tmpl w:val="BFB41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94E41"/>
    <w:multiLevelType w:val="hybridMultilevel"/>
    <w:tmpl w:val="CA3CD7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47056D9"/>
    <w:multiLevelType w:val="hybridMultilevel"/>
    <w:tmpl w:val="D3CE2A66"/>
    <w:lvl w:ilvl="0" w:tplc="AB34839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12F6E"/>
    <w:multiLevelType w:val="hybridMultilevel"/>
    <w:tmpl w:val="86C01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0557A"/>
    <w:multiLevelType w:val="hybridMultilevel"/>
    <w:tmpl w:val="C76AB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746B"/>
    <w:multiLevelType w:val="hybridMultilevel"/>
    <w:tmpl w:val="E1261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82F"/>
    <w:multiLevelType w:val="hybridMultilevel"/>
    <w:tmpl w:val="527A6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E9267D"/>
    <w:multiLevelType w:val="hybridMultilevel"/>
    <w:tmpl w:val="6DDC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5EB8"/>
    <w:multiLevelType w:val="hybridMultilevel"/>
    <w:tmpl w:val="99F6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5CCB"/>
    <w:multiLevelType w:val="hybridMultilevel"/>
    <w:tmpl w:val="2FFC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10968">
    <w:abstractNumId w:val="23"/>
  </w:num>
  <w:num w:numId="2" w16cid:durableId="1559442023">
    <w:abstractNumId w:val="0"/>
  </w:num>
  <w:num w:numId="3" w16cid:durableId="1329553800">
    <w:abstractNumId w:val="21"/>
  </w:num>
  <w:num w:numId="4" w16cid:durableId="199905974">
    <w:abstractNumId w:val="16"/>
  </w:num>
  <w:num w:numId="5" w16cid:durableId="2114278384">
    <w:abstractNumId w:val="22"/>
  </w:num>
  <w:num w:numId="6" w16cid:durableId="826894630">
    <w:abstractNumId w:val="8"/>
  </w:num>
  <w:num w:numId="7" w16cid:durableId="1406997423">
    <w:abstractNumId w:val="37"/>
  </w:num>
  <w:num w:numId="8" w16cid:durableId="572351691">
    <w:abstractNumId w:val="2"/>
  </w:num>
  <w:num w:numId="9" w16cid:durableId="1801606839">
    <w:abstractNumId w:val="2"/>
  </w:num>
  <w:num w:numId="10" w16cid:durableId="1075399680">
    <w:abstractNumId w:val="2"/>
  </w:num>
  <w:num w:numId="11" w16cid:durableId="2073042834">
    <w:abstractNumId w:val="29"/>
  </w:num>
  <w:num w:numId="12" w16cid:durableId="1483959292">
    <w:abstractNumId w:val="18"/>
  </w:num>
  <w:num w:numId="13" w16cid:durableId="782765084">
    <w:abstractNumId w:val="30"/>
  </w:num>
  <w:num w:numId="14" w16cid:durableId="775446728">
    <w:abstractNumId w:val="7"/>
  </w:num>
  <w:num w:numId="15" w16cid:durableId="1921405336">
    <w:abstractNumId w:val="26"/>
  </w:num>
  <w:num w:numId="16" w16cid:durableId="1128284324">
    <w:abstractNumId w:val="19"/>
  </w:num>
  <w:num w:numId="17" w16cid:durableId="613361699">
    <w:abstractNumId w:val="17"/>
  </w:num>
  <w:num w:numId="18" w16cid:durableId="96215415">
    <w:abstractNumId w:val="13"/>
  </w:num>
  <w:num w:numId="19" w16cid:durableId="936714518">
    <w:abstractNumId w:val="4"/>
  </w:num>
  <w:num w:numId="20" w16cid:durableId="640426297">
    <w:abstractNumId w:val="20"/>
  </w:num>
  <w:num w:numId="21" w16cid:durableId="1346783037">
    <w:abstractNumId w:val="32"/>
  </w:num>
  <w:num w:numId="22" w16cid:durableId="913467050">
    <w:abstractNumId w:val="9"/>
  </w:num>
  <w:num w:numId="23" w16cid:durableId="580062497">
    <w:abstractNumId w:val="28"/>
  </w:num>
  <w:num w:numId="24" w16cid:durableId="1350371872">
    <w:abstractNumId w:val="3"/>
  </w:num>
  <w:num w:numId="25" w16cid:durableId="2078506715">
    <w:abstractNumId w:val="24"/>
  </w:num>
  <w:num w:numId="26" w16cid:durableId="1302535518">
    <w:abstractNumId w:val="6"/>
  </w:num>
  <w:num w:numId="27" w16cid:durableId="877661599">
    <w:abstractNumId w:val="1"/>
  </w:num>
  <w:num w:numId="28" w16cid:durableId="1890914677">
    <w:abstractNumId w:val="15"/>
  </w:num>
  <w:num w:numId="29" w16cid:durableId="243532387">
    <w:abstractNumId w:val="33"/>
  </w:num>
  <w:num w:numId="30" w16cid:durableId="2052151512">
    <w:abstractNumId w:val="27"/>
  </w:num>
  <w:num w:numId="31" w16cid:durableId="834685641">
    <w:abstractNumId w:val="10"/>
  </w:num>
  <w:num w:numId="32" w16cid:durableId="655302693">
    <w:abstractNumId w:val="35"/>
  </w:num>
  <w:num w:numId="33" w16cid:durableId="894973639">
    <w:abstractNumId w:val="25"/>
  </w:num>
  <w:num w:numId="34" w16cid:durableId="1349136688">
    <w:abstractNumId w:val="11"/>
  </w:num>
  <w:num w:numId="35" w16cid:durableId="1150246340">
    <w:abstractNumId w:val="31"/>
  </w:num>
  <w:num w:numId="36" w16cid:durableId="1609117355">
    <w:abstractNumId w:val="12"/>
  </w:num>
  <w:num w:numId="37" w16cid:durableId="609892667">
    <w:abstractNumId w:val="5"/>
  </w:num>
  <w:num w:numId="38" w16cid:durableId="1158571809">
    <w:abstractNumId w:val="14"/>
  </w:num>
  <w:num w:numId="39" w16cid:durableId="1320114209">
    <w:abstractNumId w:val="34"/>
  </w:num>
  <w:num w:numId="40" w16cid:durableId="10120736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1E"/>
    <w:rsid w:val="00024FCB"/>
    <w:rsid w:val="00027502"/>
    <w:rsid w:val="00042DFD"/>
    <w:rsid w:val="00074FC6"/>
    <w:rsid w:val="00076599"/>
    <w:rsid w:val="000A73A1"/>
    <w:rsid w:val="000B76D8"/>
    <w:rsid w:val="000B77DD"/>
    <w:rsid w:val="000C1F86"/>
    <w:rsid w:val="000C409F"/>
    <w:rsid w:val="000C4124"/>
    <w:rsid w:val="000E60D3"/>
    <w:rsid w:val="000E75BB"/>
    <w:rsid w:val="000F2AE1"/>
    <w:rsid w:val="00103726"/>
    <w:rsid w:val="001148E8"/>
    <w:rsid w:val="00116E3F"/>
    <w:rsid w:val="00117C86"/>
    <w:rsid w:val="00152076"/>
    <w:rsid w:val="00182258"/>
    <w:rsid w:val="001936C0"/>
    <w:rsid w:val="001A03F8"/>
    <w:rsid w:val="001B0B43"/>
    <w:rsid w:val="001B4B92"/>
    <w:rsid w:val="001B5FA7"/>
    <w:rsid w:val="001C5E13"/>
    <w:rsid w:val="001C7E9A"/>
    <w:rsid w:val="001D18C5"/>
    <w:rsid w:val="001D1DF5"/>
    <w:rsid w:val="001D2150"/>
    <w:rsid w:val="001E1022"/>
    <w:rsid w:val="001E23D7"/>
    <w:rsid w:val="001E749E"/>
    <w:rsid w:val="001F4545"/>
    <w:rsid w:val="00212403"/>
    <w:rsid w:val="00217200"/>
    <w:rsid w:val="00217D38"/>
    <w:rsid w:val="00221211"/>
    <w:rsid w:val="00225259"/>
    <w:rsid w:val="00230769"/>
    <w:rsid w:val="00231354"/>
    <w:rsid w:val="002335C1"/>
    <w:rsid w:val="00234C95"/>
    <w:rsid w:val="00237852"/>
    <w:rsid w:val="002463F8"/>
    <w:rsid w:val="0026027C"/>
    <w:rsid w:val="0026295E"/>
    <w:rsid w:val="002749E0"/>
    <w:rsid w:val="0027666B"/>
    <w:rsid w:val="002771BF"/>
    <w:rsid w:val="002A449B"/>
    <w:rsid w:val="002C62B5"/>
    <w:rsid w:val="002E1324"/>
    <w:rsid w:val="002E2C29"/>
    <w:rsid w:val="002E3CB3"/>
    <w:rsid w:val="002F4F8F"/>
    <w:rsid w:val="00321FB0"/>
    <w:rsid w:val="00327490"/>
    <w:rsid w:val="00343160"/>
    <w:rsid w:val="00343FA6"/>
    <w:rsid w:val="003474CD"/>
    <w:rsid w:val="003477A9"/>
    <w:rsid w:val="003477C4"/>
    <w:rsid w:val="00350A55"/>
    <w:rsid w:val="003547B7"/>
    <w:rsid w:val="00355204"/>
    <w:rsid w:val="003665F9"/>
    <w:rsid w:val="00372036"/>
    <w:rsid w:val="00381EB9"/>
    <w:rsid w:val="00383438"/>
    <w:rsid w:val="003844CA"/>
    <w:rsid w:val="00386AD1"/>
    <w:rsid w:val="003A1851"/>
    <w:rsid w:val="003A71BC"/>
    <w:rsid w:val="003B3AD9"/>
    <w:rsid w:val="003B4563"/>
    <w:rsid w:val="003C53D5"/>
    <w:rsid w:val="003F685C"/>
    <w:rsid w:val="00402542"/>
    <w:rsid w:val="00405998"/>
    <w:rsid w:val="00411508"/>
    <w:rsid w:val="00415C36"/>
    <w:rsid w:val="00440BAE"/>
    <w:rsid w:val="004438CD"/>
    <w:rsid w:val="0045688B"/>
    <w:rsid w:val="004617F8"/>
    <w:rsid w:val="00462F61"/>
    <w:rsid w:val="00465353"/>
    <w:rsid w:val="00467F3A"/>
    <w:rsid w:val="0047609A"/>
    <w:rsid w:val="0048229A"/>
    <w:rsid w:val="004B445D"/>
    <w:rsid w:val="004C705E"/>
    <w:rsid w:val="004E2872"/>
    <w:rsid w:val="004E7B2C"/>
    <w:rsid w:val="004F5C28"/>
    <w:rsid w:val="0050552B"/>
    <w:rsid w:val="00511426"/>
    <w:rsid w:val="00513C89"/>
    <w:rsid w:val="0051464C"/>
    <w:rsid w:val="00522103"/>
    <w:rsid w:val="005238C0"/>
    <w:rsid w:val="00532918"/>
    <w:rsid w:val="005367A5"/>
    <w:rsid w:val="005403FA"/>
    <w:rsid w:val="00546122"/>
    <w:rsid w:val="005536B4"/>
    <w:rsid w:val="00577E9B"/>
    <w:rsid w:val="00584D8F"/>
    <w:rsid w:val="00587979"/>
    <w:rsid w:val="005A2B2C"/>
    <w:rsid w:val="005C3754"/>
    <w:rsid w:val="005D3996"/>
    <w:rsid w:val="005E1B7F"/>
    <w:rsid w:val="005E24E6"/>
    <w:rsid w:val="005E4A7E"/>
    <w:rsid w:val="005E7621"/>
    <w:rsid w:val="005F3145"/>
    <w:rsid w:val="005F7A36"/>
    <w:rsid w:val="006035C8"/>
    <w:rsid w:val="00606B05"/>
    <w:rsid w:val="00610389"/>
    <w:rsid w:val="00617370"/>
    <w:rsid w:val="00620DB5"/>
    <w:rsid w:val="00622079"/>
    <w:rsid w:val="00640DFB"/>
    <w:rsid w:val="00650050"/>
    <w:rsid w:val="006531D2"/>
    <w:rsid w:val="00654C44"/>
    <w:rsid w:val="006702DB"/>
    <w:rsid w:val="00670E91"/>
    <w:rsid w:val="00674D6C"/>
    <w:rsid w:val="00681893"/>
    <w:rsid w:val="00692A35"/>
    <w:rsid w:val="006A71A2"/>
    <w:rsid w:val="006B76B6"/>
    <w:rsid w:val="006C7274"/>
    <w:rsid w:val="006F3551"/>
    <w:rsid w:val="007140DC"/>
    <w:rsid w:val="00715002"/>
    <w:rsid w:val="00723E44"/>
    <w:rsid w:val="0072708D"/>
    <w:rsid w:val="007327D6"/>
    <w:rsid w:val="00755DA8"/>
    <w:rsid w:val="0076395B"/>
    <w:rsid w:val="00782D14"/>
    <w:rsid w:val="00790F30"/>
    <w:rsid w:val="007A54A2"/>
    <w:rsid w:val="007B6C76"/>
    <w:rsid w:val="007D352E"/>
    <w:rsid w:val="007E0FA9"/>
    <w:rsid w:val="007E2016"/>
    <w:rsid w:val="00800937"/>
    <w:rsid w:val="0080714D"/>
    <w:rsid w:val="00807FE1"/>
    <w:rsid w:val="0081239C"/>
    <w:rsid w:val="008148ED"/>
    <w:rsid w:val="00815FBA"/>
    <w:rsid w:val="008161D3"/>
    <w:rsid w:val="00837CD8"/>
    <w:rsid w:val="008461F3"/>
    <w:rsid w:val="008472F3"/>
    <w:rsid w:val="008478B8"/>
    <w:rsid w:val="00852E92"/>
    <w:rsid w:val="00856A8A"/>
    <w:rsid w:val="00862345"/>
    <w:rsid w:val="008627F0"/>
    <w:rsid w:val="00862B48"/>
    <w:rsid w:val="0086422E"/>
    <w:rsid w:val="00864281"/>
    <w:rsid w:val="00880003"/>
    <w:rsid w:val="00882199"/>
    <w:rsid w:val="0089064F"/>
    <w:rsid w:val="00891D6B"/>
    <w:rsid w:val="008A3E0C"/>
    <w:rsid w:val="008A4DC3"/>
    <w:rsid w:val="008B2775"/>
    <w:rsid w:val="008D1DD8"/>
    <w:rsid w:val="008D5CCE"/>
    <w:rsid w:val="008E1163"/>
    <w:rsid w:val="008E5E43"/>
    <w:rsid w:val="008F2D82"/>
    <w:rsid w:val="008F66A8"/>
    <w:rsid w:val="008F698B"/>
    <w:rsid w:val="00902D47"/>
    <w:rsid w:val="00924299"/>
    <w:rsid w:val="00927063"/>
    <w:rsid w:val="0093068A"/>
    <w:rsid w:val="0094233D"/>
    <w:rsid w:val="00943327"/>
    <w:rsid w:val="00944F05"/>
    <w:rsid w:val="00953BF5"/>
    <w:rsid w:val="0095503A"/>
    <w:rsid w:val="00974F0E"/>
    <w:rsid w:val="009852E1"/>
    <w:rsid w:val="00985E5B"/>
    <w:rsid w:val="009866AE"/>
    <w:rsid w:val="00996693"/>
    <w:rsid w:val="00997592"/>
    <w:rsid w:val="009A0112"/>
    <w:rsid w:val="009A25E6"/>
    <w:rsid w:val="009B34EE"/>
    <w:rsid w:val="009C37AC"/>
    <w:rsid w:val="009D031E"/>
    <w:rsid w:val="009D648E"/>
    <w:rsid w:val="009E158F"/>
    <w:rsid w:val="009E6F3B"/>
    <w:rsid w:val="00A0641A"/>
    <w:rsid w:val="00A06466"/>
    <w:rsid w:val="00A2360F"/>
    <w:rsid w:val="00A30350"/>
    <w:rsid w:val="00A31F8E"/>
    <w:rsid w:val="00A51CFB"/>
    <w:rsid w:val="00A561C2"/>
    <w:rsid w:val="00A6204F"/>
    <w:rsid w:val="00A6536E"/>
    <w:rsid w:val="00A663AD"/>
    <w:rsid w:val="00A678ED"/>
    <w:rsid w:val="00A701BA"/>
    <w:rsid w:val="00A7203F"/>
    <w:rsid w:val="00A73988"/>
    <w:rsid w:val="00A74324"/>
    <w:rsid w:val="00A74BED"/>
    <w:rsid w:val="00A90B93"/>
    <w:rsid w:val="00A97689"/>
    <w:rsid w:val="00AA2C17"/>
    <w:rsid w:val="00AB10F7"/>
    <w:rsid w:val="00AD30A9"/>
    <w:rsid w:val="00AE10D5"/>
    <w:rsid w:val="00AE7069"/>
    <w:rsid w:val="00AF2D16"/>
    <w:rsid w:val="00AF49CC"/>
    <w:rsid w:val="00AF5887"/>
    <w:rsid w:val="00B00B9C"/>
    <w:rsid w:val="00B07A84"/>
    <w:rsid w:val="00B146B9"/>
    <w:rsid w:val="00B27E09"/>
    <w:rsid w:val="00B313D7"/>
    <w:rsid w:val="00B33DFD"/>
    <w:rsid w:val="00B364D4"/>
    <w:rsid w:val="00B4295E"/>
    <w:rsid w:val="00B51AF7"/>
    <w:rsid w:val="00B54F37"/>
    <w:rsid w:val="00B67955"/>
    <w:rsid w:val="00B67D97"/>
    <w:rsid w:val="00B71C54"/>
    <w:rsid w:val="00B75D67"/>
    <w:rsid w:val="00B77C6E"/>
    <w:rsid w:val="00B87274"/>
    <w:rsid w:val="00B9657F"/>
    <w:rsid w:val="00BB131A"/>
    <w:rsid w:val="00BD2D44"/>
    <w:rsid w:val="00BE1F13"/>
    <w:rsid w:val="00BE25F6"/>
    <w:rsid w:val="00C146C6"/>
    <w:rsid w:val="00C16583"/>
    <w:rsid w:val="00C41E63"/>
    <w:rsid w:val="00C44B0C"/>
    <w:rsid w:val="00C50009"/>
    <w:rsid w:val="00C61A4A"/>
    <w:rsid w:val="00C7518E"/>
    <w:rsid w:val="00C7617A"/>
    <w:rsid w:val="00C80A1F"/>
    <w:rsid w:val="00C97DD9"/>
    <w:rsid w:val="00CB6091"/>
    <w:rsid w:val="00CC0ECD"/>
    <w:rsid w:val="00CC359E"/>
    <w:rsid w:val="00CD3BED"/>
    <w:rsid w:val="00CD5990"/>
    <w:rsid w:val="00CE7645"/>
    <w:rsid w:val="00CF2B98"/>
    <w:rsid w:val="00CF7F49"/>
    <w:rsid w:val="00D03A3B"/>
    <w:rsid w:val="00D0431D"/>
    <w:rsid w:val="00D04401"/>
    <w:rsid w:val="00D12ECF"/>
    <w:rsid w:val="00D157D9"/>
    <w:rsid w:val="00D411E9"/>
    <w:rsid w:val="00D6418A"/>
    <w:rsid w:val="00D64A92"/>
    <w:rsid w:val="00D64D05"/>
    <w:rsid w:val="00D7166C"/>
    <w:rsid w:val="00D71892"/>
    <w:rsid w:val="00D743EE"/>
    <w:rsid w:val="00D76D9B"/>
    <w:rsid w:val="00D7703A"/>
    <w:rsid w:val="00D80046"/>
    <w:rsid w:val="00D80FB8"/>
    <w:rsid w:val="00D834F3"/>
    <w:rsid w:val="00DB0D79"/>
    <w:rsid w:val="00DC1566"/>
    <w:rsid w:val="00DC786E"/>
    <w:rsid w:val="00DE0A8A"/>
    <w:rsid w:val="00DE1ABB"/>
    <w:rsid w:val="00DE21AA"/>
    <w:rsid w:val="00DF013C"/>
    <w:rsid w:val="00DF0B8A"/>
    <w:rsid w:val="00E00CEC"/>
    <w:rsid w:val="00E0397B"/>
    <w:rsid w:val="00E126BA"/>
    <w:rsid w:val="00E24693"/>
    <w:rsid w:val="00E3053B"/>
    <w:rsid w:val="00E31016"/>
    <w:rsid w:val="00E34F24"/>
    <w:rsid w:val="00E371D1"/>
    <w:rsid w:val="00E47FF3"/>
    <w:rsid w:val="00E526F0"/>
    <w:rsid w:val="00E54ED0"/>
    <w:rsid w:val="00E64A79"/>
    <w:rsid w:val="00E6708A"/>
    <w:rsid w:val="00E72252"/>
    <w:rsid w:val="00E809B6"/>
    <w:rsid w:val="00E9712A"/>
    <w:rsid w:val="00EA01F1"/>
    <w:rsid w:val="00EB6358"/>
    <w:rsid w:val="00EC1B0E"/>
    <w:rsid w:val="00ED432C"/>
    <w:rsid w:val="00EE2730"/>
    <w:rsid w:val="00EE4775"/>
    <w:rsid w:val="00EF359C"/>
    <w:rsid w:val="00F111F0"/>
    <w:rsid w:val="00F14488"/>
    <w:rsid w:val="00F2100A"/>
    <w:rsid w:val="00F53292"/>
    <w:rsid w:val="00F54579"/>
    <w:rsid w:val="00F6226A"/>
    <w:rsid w:val="00F6271E"/>
    <w:rsid w:val="00F70757"/>
    <w:rsid w:val="00F715A1"/>
    <w:rsid w:val="00F726EB"/>
    <w:rsid w:val="00F80F74"/>
    <w:rsid w:val="00F826B0"/>
    <w:rsid w:val="00F847B1"/>
    <w:rsid w:val="00FA1937"/>
    <w:rsid w:val="00FB3078"/>
    <w:rsid w:val="00FB360E"/>
    <w:rsid w:val="00FD0742"/>
    <w:rsid w:val="00FD5A6C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4EA76B1"/>
  <w15:docId w15:val="{8FBAD92D-0F8F-450E-9550-6A10B76D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C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271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271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71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271E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6271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6271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271E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6271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6271E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6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271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8D5C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D2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2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215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2150"/>
    <w:rPr>
      <w:rFonts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E13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4"/>
    <w:rPr>
      <w:lang w:eastAsia="en-US"/>
    </w:rPr>
  </w:style>
  <w:style w:type="paragraph" w:styleId="Footer">
    <w:name w:val="footer"/>
    <w:basedOn w:val="Normal"/>
    <w:link w:val="FooterChar"/>
    <w:uiPriority w:val="99"/>
    <w:rsid w:val="002E13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A64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A73A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3A1"/>
    <w:rPr>
      <w:rFonts w:eastAsiaTheme="minorHAnsi" w:cstheme="minorBid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4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6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4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trus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schia.burton@culturetru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D056-A84C-4E05-91B2-749B0161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912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Trust</dc:creator>
  <cp:lastModifiedBy>Fatima, Syeda</cp:lastModifiedBy>
  <cp:revision>14</cp:revision>
  <cp:lastPrinted>2023-11-07T14:26:00Z</cp:lastPrinted>
  <dcterms:created xsi:type="dcterms:W3CDTF">2024-10-31T16:40:00Z</dcterms:created>
  <dcterms:modified xsi:type="dcterms:W3CDTF">2025-02-11T15:19:00Z</dcterms:modified>
</cp:coreProperties>
</file>